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6"/>
    <w:p>
      <w:pPr>
        <w:pStyle w:val="Heading1"/>
      </w:pPr>
      <w:r>
        <w:t xml:space="preserve">Homiletics Analysis: 2 Samuel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16 contains three distinct but thematically unified episodes, each presenting David in a posture of humiliation during Absalom’s revolt. In the first episode (vv. 1–4), Ziba, the servant of Mephibosheth, meets David on the road with provisions and a damning report against his master — that Mephibosheth has stayed in Jerusalem hoping to reclaim Saul’s throne. David, without investigation, transfers all of Mephibosheth’s land to Ziba. In the second episode (vv. 5–14), Shimei son of Gera, a member of Saul’s clan, follows David’s procession hurling stones and curses, calling him a murderer and a man of blood whose fall is God’s judgment. David restrains his mighty men from silencing Shimei, offers a remarkable statement of submission to divine providence, and presses on weeping. In the third episode (vv. 15–23), the scene shifts to Jerusalem, where Absalom enters in triumph. Hushai the Archite, David’s secret agent, presents himself to Absalom, and Absalom receives him. The chapter closes with Ahithophel advising Absalom to publicly violate David’s concubines on the palace roof — a calculated act of political consolidation that fulfills Nathan’s prophecy (2 Samuel 12:11–12).</w:t>
      </w:r>
    </w:p>
    <w:p>
      <w:pPr>
        <w:pStyle w:val="BodyText"/>
      </w:pPr>
      <w:r>
        <w:rPr>
          <w:b/>
          <w:bCs/>
        </w:rPr>
        <w:t xml:space="preserve">This Text — Intent:</w:t>
      </w:r>
    </w:p>
    <w:p>
      <w:pPr>
        <w:pStyle w:val="BodyText"/>
      </w:pPr>
      <w:r>
        <w:t xml:space="preserve">God is seeking to produce in the reader a confidence that His sovereign purposes are not derailed by human treachery, mob curses, political reversals, or even the consequences of the leader’s own sin. The chapter’s purpose is not primarily to instruct David’s behavior (though his responses are remarkable) but to display what it looks like when a man submits to God’s providential hand even when that hand is delivering discipline. God intends the reader to see that true trust in His governance does not require circumstances to be favorable — it survives betrayal, false accusation, public humiliation, and unanswered prayer, all while moving toward His decreed end.</w:t>
      </w:r>
    </w:p>
    <w:p>
      <w:r>
        <w:pict>
          <v:rect style="width:0;height:1.5pt" o:hralign="center" o:hrstd="t" o:hr="t"/>
        </w:pict>
      </w:r>
    </w:p>
    <w:p>
      <w:pPr>
        <w:pStyle w:val="FirstParagraph"/>
      </w:pPr>
      <w:r>
        <w:rPr>
          <w:b/>
          <w:bCs/>
        </w:rPr>
        <w:t xml:space="preserve">Subject Sentence:</w:t>
      </w:r>
    </w:p>
    <w:p>
      <w:pPr>
        <w:pStyle w:val="BodyText"/>
      </w:pPr>
      <w:r>
        <w:t xml:space="preserve">David’s humiliation under Absalom’s revolt reveals God’s sovereign hand behind betrayal, cursing, and political disgrace.</w:t>
      </w:r>
    </w:p>
    <w:p>
      <w:r>
        <w:pict>
          <v:rect style="width:0;height:1.5pt" o:hralign="center" o:hrstd="t" o:hr="t"/>
        </w:pict>
      </w:r>
    </w:p>
    <w:p>
      <w:pPr>
        <w:pStyle w:val="FirstParagraph"/>
      </w:pPr>
      <w:r>
        <w:rPr>
          <w:b/>
          <w:bCs/>
        </w:rPr>
        <w:t xml:space="preserve">Primary Claim:</w:t>
      </w:r>
    </w:p>
    <w:p>
      <w:pPr>
        <w:pStyle w:val="BodyText"/>
      </w:pPr>
      <w:r>
        <w:t xml:space="preserve">God is demonstrating that His providential governance of His servant’s life holds even through the most degrading reversals — and He is calling the reader to the same posture of submission David displays: trusting God’s hand rather than demanding vindication, defending reputation, or forcing resolution.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Shimei Episode and Divine Permission (vv. 5–14):</w:t>
      </w:r>
      <w:r>
        <w:t xml:space="preserve"> </w:t>
      </w:r>
      <w:r>
        <w:t xml:space="preserve">The most interpretively significant moment in the chapter is David’s response to Shimei’s cursing in verses 10–12. David says:</w:t>
      </w:r>
      <w:r>
        <w:t xml:space="preserve"> </w:t>
      </w:r>
      <w:r>
        <w:rPr>
          <w:i/>
          <w:iCs/>
        </w:rPr>
        <w:t xml:space="preserve">“Let him alone, and let him curse, for the LORD has told him to.”</w:t>
      </w:r>
      <w:r>
        <w:t xml:space="preserve"> </w:t>
      </w:r>
      <w:r>
        <w:t xml:space="preserve">This has generated significant discussion across traditions. A moralistic or behavioral reading (common in Baptist and evangelical devotional preaching) tends to make this primarily about David’s character — his patience, humility, or emotional restraint under pressure. That reading is worth</w:t>
      </w:r>
      <w:r>
        <w:t xml:space="preserve"> </w:t>
      </w:r>
      <w:r>
        <w:rPr>
          <w:i/>
          <w:iCs/>
        </w:rPr>
        <w:t xml:space="preserve">acknowledging</w:t>
      </w:r>
      <w:r>
        <w:t xml:space="preserve"> </w:t>
      </w:r>
      <w:r>
        <w:t xml:space="preserve">as a genuine observation: David’s response is, in fact, remarkable. However, it</w:t>
      </w:r>
      <w:r>
        <w:t xml:space="preserve"> </w:t>
      </w:r>
      <w:r>
        <w:rPr>
          <w:i/>
          <w:iCs/>
        </w:rPr>
        <w:t xml:space="preserve">qualifies</w:t>
      </w:r>
      <w:r>
        <w:t xml:space="preserve"> </w:t>
      </w:r>
      <w:r>
        <w:t xml:space="preserve">at the decisive point: the weight of David’s statement is not</w:t>
      </w:r>
      <w:r>
        <w:t xml:space="preserve"> </w:t>
      </w:r>
      <w:r>
        <w:t xml:space="preserve">“watch how patient I am”</w:t>
      </w:r>
      <w:r>
        <w:t xml:space="preserve"> </w:t>
      </w:r>
      <w:r>
        <w:t xml:space="preserve">but</w:t>
      </w:r>
      <w:r>
        <w:t xml:space="preserve"> </w:t>
      </w:r>
      <w:r>
        <w:t xml:space="preserve">“I believe God is in this.”</w:t>
      </w:r>
      <w:r>
        <w:t xml:space="preserve"> </w:t>
      </w:r>
      <w:r>
        <w:t xml:space="preserve">The theological claim is not about David’s virtue but about God’s governance. Wesleyan readings sometimes frame this episode primarily in terms of David’s sanctification — his growing submission as a mark of spiritual maturity — which again captures something real but needs</w:t>
      </w:r>
      <w:r>
        <w:t xml:space="preserve"> </w:t>
      </w:r>
      <w:r>
        <w:rPr>
          <w:i/>
          <w:iCs/>
        </w:rPr>
        <w:t xml:space="preserve">qualifying</w:t>
      </w:r>
      <w:r>
        <w:t xml:space="preserve"> </w:t>
      </w:r>
      <w:r>
        <w:t xml:space="preserve">because it relocates the center of gravity from divine providence to human development.</w:t>
      </w:r>
    </w:p>
    <w:p>
      <w:pPr>
        <w:pStyle w:val="BodyText"/>
      </w:pPr>
      <w:r>
        <w:rPr>
          <w:b/>
          <w:bCs/>
        </w:rPr>
        <w:t xml:space="preserve">The Ziba Episode and David’s Rash Judgment (vv. 1–4):</w:t>
      </w:r>
      <w:r>
        <w:t xml:space="preserve"> </w:t>
      </w:r>
      <w:r>
        <w:t xml:space="preserve">David’s immediate transfer of all Mephibosheth’s property to Ziba based solely on Ziba’s unverified report raises a question about whether the text endorses David’s decision or simply records it. This must be read against 2 Samuel 19:24–30, where Mephibosheth’s own account casts serious doubt on Ziba’s testimony and David essentially splits the estate between them — an implicit admission that he acted too hastily. The text here does not editorially condemn David’s decision, but neither does it commend it. The Reformed reading holds that the text presents this as part of David’s larger vulnerability and weakness in the moment of his displacement — a man under pressure making imperfect decisions, not a man operating at full judicial capacity. This is consistent with the chapter’s broader portrait of a king in humiliation, not a king at his best.</w:t>
      </w:r>
    </w:p>
    <w:p>
      <w:pPr>
        <w:pStyle w:val="BodyText"/>
      </w:pPr>
      <w:r>
        <w:rPr>
          <w:b/>
          <w:bCs/>
        </w:rPr>
        <w:t xml:space="preserve">Ahithophel’s Counsel and Fulfillment of Prophecy (vv. 20–23):</w:t>
      </w:r>
      <w:r>
        <w:t xml:space="preserve"> </w:t>
      </w:r>
      <w:r>
        <w:t xml:space="preserve">Some dispensational readings of the prophetic fulfillment here (the violation of David’s concubines fulfilling Nathan’s word in 2 Samuel 12:11–12) treat this primarily as a fulfillment-verification data point for prophetic inspiration. That reading is accurate but</w:t>
      </w:r>
      <w:r>
        <w:t xml:space="preserve"> </w:t>
      </w:r>
      <w:r>
        <w:rPr>
          <w:i/>
          <w:iCs/>
        </w:rPr>
        <w:t xml:space="preserve">qualifies</w:t>
      </w:r>
      <w:r>
        <w:t xml:space="preserve"> </w:t>
      </w:r>
      <w:r>
        <w:t xml:space="preserve">because it misses the pastoral-theological weight: the fulfilled prophecy is not merely proving Scripture’s reliability — it is demonstrating that God’s word, even His word of discipline, arrives exactly as spoken. The Reformed reading holds both: the fulfillment authenticates the prophetic word</w:t>
      </w:r>
      <w:r>
        <w:t xml:space="preserve"> </w:t>
      </w:r>
      <w:r>
        <w:rPr>
          <w:i/>
          <w:iCs/>
        </w:rPr>
        <w:t xml:space="preserve">and</w:t>
      </w:r>
      <w:r>
        <w:t xml:space="preserve"> </w:t>
      </w:r>
      <w:r>
        <w:t xml:space="preserve">embodies the principle that God’s discipline of His own is no less precise and no less sovereign than His protection of them.</w:t>
      </w:r>
    </w:p>
    <w:p>
      <w:pPr>
        <w:pStyle w:val="BodyText"/>
      </w:pPr>
      <w:r>
        <w:rPr>
          <w:b/>
          <w:bCs/>
        </w:rPr>
        <w:t xml:space="preserve">Hushai’s Deception:</w:t>
      </w:r>
      <w:r>
        <w:t xml:space="preserve"> </w:t>
      </w:r>
      <w:r>
        <w:t xml:space="preserve">Hushai’s posture before Absalom (vv. 16–19) involves deliberate deception in service of David’s cause. This passage is occasionally used to generate a broader ethical framework justifying deception in service of good ends (a line of argument also drawn from Rahab and the Hebrew midwives). The text does not comment editorially on the ethics of Hushai’s behavior — it simply records it within the outworking of providence. The Reformed reading resists making the text either a proof-text for situational ethics or a problem requiring defensive apologetics, and treats the episode as a narrative element within the larger providential plot, not an ethical case study.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12:11–12</w:t>
      </w:r>
      <w:r>
        <w:t xml:space="preserve"> </w:t>
      </w:r>
      <w:r>
        <w:t xml:space="preserve">— Nathan’s prophecy that God would raise up evil against David from his own house and that his wives would be violated before the sun: the Ahithophel episode in this chapter is the direct and literal fulfillment, establishing that God’s disciplinary word arrives as precisely as His promissory word.</w:t>
      </w:r>
    </w:p>
    <w:p>
      <w:pPr>
        <w:numPr>
          <w:ilvl w:val="0"/>
          <w:numId w:val="1001"/>
        </w:numPr>
      </w:pPr>
      <w:r>
        <w:rPr>
          <w:b/>
          <w:bCs/>
        </w:rPr>
        <w:t xml:space="preserve">Psalm 3</w:t>
      </w:r>
      <w:r>
        <w:t xml:space="preserve"> </w:t>
      </w:r>
      <w:r>
        <w:t xml:space="preserve">— Traditionally associated with David’s flight from Absalom, this psalm shows the same theological posture as chapter 16: a man surrounded by enemies, cursed and abandoned, yet declaring</w:t>
      </w:r>
      <w:r>
        <w:t xml:space="preserve"> </w:t>
      </w:r>
      <w:r>
        <w:t xml:space="preserve">“You, O LORD, are a shield about me”</w:t>
      </w:r>
      <w:r>
        <w:t xml:space="preserve"> </w:t>
      </w:r>
      <w:r>
        <w:t xml:space="preserve">— illustrating that David’s submission to Shimei’s cursing was not passive resignation but active trust.</w:t>
      </w:r>
    </w:p>
    <w:p>
      <w:pPr>
        <w:numPr>
          <w:ilvl w:val="0"/>
          <w:numId w:val="1001"/>
        </w:numPr>
      </w:pPr>
      <w:r>
        <w:rPr>
          <w:b/>
          <w:bCs/>
        </w:rPr>
        <w:t xml:space="preserve">Romans 8:28–29</w:t>
      </w:r>
      <w:r>
        <w:t xml:space="preserve"> </w:t>
      </w:r>
      <w:r>
        <w:t xml:space="preserve">— The principle that God works all things for the good of those He has called provides the New Testament theological grounding for what David is living out: the degrading reversals of chapter 16 are not outside God’s governance but are being worked through it.</w:t>
      </w:r>
    </w:p>
    <w:p>
      <w:pPr>
        <w:numPr>
          <w:ilvl w:val="0"/>
          <w:numId w:val="1001"/>
        </w:numPr>
      </w:pPr>
      <w:r>
        <w:rPr>
          <w:b/>
          <w:bCs/>
        </w:rPr>
        <w:t xml:space="preserve">Genesis 50:20</w:t>
      </w:r>
      <w:r>
        <w:t xml:space="preserve"> </w:t>
      </w:r>
      <w:r>
        <w:t xml:space="preserve">— Joseph’s declaration that what his brothers meant for evil, God meant for good is the closest Old Testament parallel to David’s interpretation of Shimei’s cursing: human malice and divine providence running on parallel tracks, with the divine track ultimate.</w:t>
      </w:r>
    </w:p>
    <w:p>
      <w:pPr>
        <w:numPr>
          <w:ilvl w:val="0"/>
          <w:numId w:val="1001"/>
        </w:numPr>
      </w:pPr>
      <w:r>
        <w:rPr>
          <w:b/>
          <w:bCs/>
        </w:rPr>
        <w:t xml:space="preserve">Hebrews 12:5–11</w:t>
      </w:r>
      <w:r>
        <w:t xml:space="preserve"> </w:t>
      </w:r>
      <w:r>
        <w:t xml:space="preserve">— The theological framework of divine discipline as the Father’s love toward sons provides the lens for reading the whole chapter: David is not being abandoned but disciplined, and his submission to that discipline is evidence of the faith the author of Hebrews calls the mark of true sonship.</w:t>
      </w:r>
    </w:p>
    <w:p>
      <w:r>
        <w:pict>
          <v:rect style="width:0;height:1.5pt" o:hralign="center" o:hrstd="t" o:hr="t"/>
        </w:pict>
      </w:r>
    </w:p>
    <w:p>
      <w:pPr>
        <w:pStyle w:val="FirstParagraph"/>
      </w:pPr>
      <w:r>
        <w:rPr>
          <w:b/>
          <w:bCs/>
        </w:rPr>
        <w:t xml:space="preserve">Aim:</w:t>
      </w:r>
    </w:p>
    <w:p>
      <w:pPr>
        <w:pStyle w:val="BodyText"/>
      </w:pPr>
      <w:r>
        <w:t xml:space="preserve">To lead the reader through David’s humiliation with enough exegetical clarity and pastoral directness that they emerge with a concrete trust in God’s providential governance of their own reversals, rather than demanding vindication, defending their reputation, or forcing resolution.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Ziba meets David on the road with provisions for his flight. He claims Mephibosheth has stayed in Jerusalem to reclaim Saul’s throne. David immediately awards Ziba all of Mephibosheth’s land.</w:t>
            </w:r>
          </w:p>
        </w:tc>
        <w:tc>
          <w:tcPr/>
          <w:p>
            <w:pPr>
              <w:pStyle w:val="Compact"/>
            </w:pPr>
            <w:r>
              <w:t xml:space="preserve">David’s rash decision; contrast with 2 Sam 19:24–30 where the story is revised. Ziba’s report is unverified and almost certainly self-serving.</w:t>
            </w:r>
          </w:p>
        </w:tc>
      </w:tr>
      <w:tr>
        <w:tc>
          <w:tcPr/>
          <w:p>
            <w:pPr>
              <w:pStyle w:val="Compact"/>
            </w:pPr>
            <w:r>
              <w:t xml:space="preserve">5–8</w:t>
            </w:r>
          </w:p>
        </w:tc>
        <w:tc>
          <w:tcPr/>
          <w:p>
            <w:pPr>
              <w:pStyle w:val="Compact"/>
            </w:pPr>
            <w:r>
              <w:t xml:space="preserve">Shimei son of Gera, a Benjaminite and Saul’s kinsman, follows David’s procession on a parallel hillside hurling stones and cursing. He calls David a murderer and a man of blood and declares this is God’s judgment for Saul’s house.</w:t>
            </w:r>
          </w:p>
        </w:tc>
        <w:tc>
          <w:tcPr/>
          <w:p>
            <w:pPr>
              <w:pStyle w:val="Compact"/>
            </w:pPr>
            <w:r>
              <w:t xml:space="preserve">The accusation of David murdering</w:t>
            </w:r>
            <w:r>
              <w:t xml:space="preserve"> </w:t>
            </w:r>
            <w:r>
              <w:t xml:space="preserve">“the house of Saul”</w:t>
            </w:r>
            <w:r>
              <w:t xml:space="preserve"> </w:t>
            </w:r>
            <w:r>
              <w:t xml:space="preserve">is historically dubious (cf. 2 Sam 21) but Shimei’s conviction is real. The political wound of Saul’s displaced dynasty remains alive.</w:t>
            </w:r>
          </w:p>
        </w:tc>
      </w:tr>
      <w:tr>
        <w:tc>
          <w:tcPr/>
          <w:p>
            <w:pPr>
              <w:pStyle w:val="Compact"/>
            </w:pPr>
            <w:r>
              <w:t xml:space="preserve">9</w:t>
            </w:r>
          </w:p>
        </w:tc>
        <w:tc>
          <w:tcPr/>
          <w:p>
            <w:pPr>
              <w:pStyle w:val="Compact"/>
            </w:pPr>
            <w:r>
              <w:t xml:space="preserve">Abishai asks David’s permission to go over and cut off Shimei’s head.</w:t>
            </w:r>
          </w:p>
        </w:tc>
        <w:tc>
          <w:tcPr/>
          <w:p>
            <w:pPr>
              <w:pStyle w:val="Compact"/>
            </w:pPr>
            <w:r>
              <w:t xml:space="preserve">Typical Joab/Abishai instinct — political problems resolved with swords.</w:t>
            </w:r>
          </w:p>
        </w:tc>
      </w:tr>
      <w:tr>
        <w:tc>
          <w:tcPr/>
          <w:p>
            <w:pPr>
              <w:pStyle w:val="Compact"/>
            </w:pPr>
            <w:r>
              <w:t xml:space="preserve">10–12</w:t>
            </w:r>
          </w:p>
        </w:tc>
        <w:tc>
          <w:tcPr/>
          <w:p>
            <w:pPr>
              <w:pStyle w:val="Compact"/>
            </w:pPr>
            <w:r>
              <w:t xml:space="preserve">David refuses, invoking the LORD’s governance of Shimei’s cursing. He suggests perhaps the LORD has told Shimei to curse, and perhaps the LORD will see his affliction and repay with good.</w:t>
            </w:r>
          </w:p>
        </w:tc>
        <w:tc>
          <w:tcPr/>
          <w:p>
            <w:pPr>
              <w:pStyle w:val="Compact"/>
            </w:pPr>
            <w:r>
              <w:t xml:space="preserve">The theological center of the chapter. David’s submission to providential discipline is explicit and extraordinary.</w:t>
            </w:r>
          </w:p>
        </w:tc>
      </w:tr>
      <w:tr>
        <w:tc>
          <w:tcPr/>
          <w:p>
            <w:pPr>
              <w:pStyle w:val="Compact"/>
            </w:pPr>
            <w:r>
              <w:t xml:space="preserve">13–14</w:t>
            </w:r>
          </w:p>
        </w:tc>
        <w:tc>
          <w:tcPr/>
          <w:p>
            <w:pPr>
              <w:pStyle w:val="Compact"/>
            </w:pPr>
            <w:r>
              <w:t xml:space="preserve">David and his company continue while Shimei walks along the opposite hillside still cursing and throwing stones. David reaches the Jordan exhausted.</w:t>
            </w:r>
          </w:p>
        </w:tc>
        <w:tc>
          <w:tcPr/>
          <w:p>
            <w:pPr>
              <w:pStyle w:val="Compact"/>
            </w:pPr>
            <w:r>
              <w:t xml:space="preserve">The exhaustion is physical and emotional — the man who composed Psalm 3 is arriving at the Jordan as a refugee.</w:t>
            </w:r>
          </w:p>
        </w:tc>
      </w:tr>
      <w:tr>
        <w:tc>
          <w:tcPr/>
          <w:p>
            <w:pPr>
              <w:pStyle w:val="Compact"/>
            </w:pPr>
            <w:r>
              <w:t xml:space="preserve">15–19</w:t>
            </w:r>
          </w:p>
        </w:tc>
        <w:tc>
          <w:tcPr/>
          <w:p>
            <w:pPr>
              <w:pStyle w:val="Compact"/>
            </w:pPr>
            <w:r>
              <w:t xml:space="preserve">Scene shifts to Jerusalem. Hushai presents himself to Absalom with the greeting</w:t>
            </w:r>
            <w:r>
              <w:t xml:space="preserve"> </w:t>
            </w:r>
            <w:r>
              <w:t xml:space="preserve">“Long live the king!”</w:t>
            </w:r>
            <w:r>
              <w:t xml:space="preserve"> </w:t>
            </w:r>
            <w:r>
              <w:t xml:space="preserve">Absalom questions his loyalty. Hushai deflects with a clever double-meaning answer and is accepted.</w:t>
            </w:r>
          </w:p>
        </w:tc>
        <w:tc>
          <w:tcPr/>
          <w:p>
            <w:pPr>
              <w:pStyle w:val="Compact"/>
            </w:pPr>
            <w:r>
              <w:t xml:space="preserve">Hushai’s answer (v. 18) is technically true of David while seeming to affirm Absalom — a masterpiece of deliberate ambiguity. Providence operating through human loyalty and wit.</w:t>
            </w:r>
          </w:p>
        </w:tc>
      </w:tr>
      <w:tr>
        <w:tc>
          <w:tcPr/>
          <w:p>
            <w:pPr>
              <w:pStyle w:val="Compact"/>
            </w:pPr>
            <w:r>
              <w:t xml:space="preserve">20–23</w:t>
            </w:r>
          </w:p>
        </w:tc>
        <w:tc>
          <w:tcPr/>
          <w:p>
            <w:pPr>
              <w:pStyle w:val="Compact"/>
            </w:pPr>
            <w:r>
              <w:t xml:space="preserve">Absalom asks Ahithophel for counsel. Ahithophel advises Absalom to publicly go in to David’s concubines on the palace roof to demonstrate irrevocable break with his father. Absalom follows the counsel. Ahithophel’s advice is described as being like the word of God — reliable, precise.</w:t>
            </w:r>
          </w:p>
        </w:tc>
        <w:tc>
          <w:tcPr/>
          <w:p>
            <w:pPr>
              <w:pStyle w:val="Compact"/>
            </w:pPr>
            <w:r>
              <w:t xml:space="preserve">Direct fulfillment of 2 Sam 12:11–12. The tent on the roof parallels Nathan’s</w:t>
            </w:r>
            <w:r>
              <w:t xml:space="preserve"> </w:t>
            </w:r>
            <w:r>
              <w:t xml:space="preserve">“before this sun”</w:t>
            </w:r>
            <w:r>
              <w:t xml:space="preserve"> </w:t>
            </w:r>
            <w:r>
              <w:t xml:space="preserve">language. Ahithophel’s reliability (v. 23) will be his undoing in ch. 17 when Hushai outplays him.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Betrayal of Provisions: Ziba’s Opportunism and David’s Vulnerability</w:t>
            </w:r>
          </w:p>
        </w:tc>
      </w:tr>
      <w:tr>
        <w:tc>
          <w:tcPr/>
          <w:p>
            <w:pPr>
              <w:pStyle w:val="Compact"/>
            </w:pPr>
            <w:r>
              <w:t xml:space="preserve">2</w:t>
            </w:r>
          </w:p>
        </w:tc>
        <w:tc>
          <w:tcPr/>
          <w:p>
            <w:pPr>
              <w:pStyle w:val="Compact"/>
            </w:pPr>
            <w:r>
              <w:t xml:space="preserve">5–14</w:t>
            </w:r>
          </w:p>
        </w:tc>
        <w:tc>
          <w:tcPr/>
          <w:p>
            <w:pPr>
              <w:pStyle w:val="Compact"/>
            </w:pPr>
            <w:r>
              <w:t xml:space="preserve">The Curse on the Road: Shimei’s Fury and David’s Submission</w:t>
            </w:r>
          </w:p>
        </w:tc>
      </w:tr>
      <w:tr>
        <w:tc>
          <w:tcPr/>
          <w:p>
            <w:pPr>
              <w:pStyle w:val="Compact"/>
            </w:pPr>
            <w:r>
              <w:t xml:space="preserve">3</w:t>
            </w:r>
          </w:p>
        </w:tc>
        <w:tc>
          <w:tcPr/>
          <w:p>
            <w:pPr>
              <w:pStyle w:val="Compact"/>
            </w:pPr>
            <w:r>
              <w:t xml:space="preserve">15–19</w:t>
            </w:r>
          </w:p>
        </w:tc>
        <w:tc>
          <w:tcPr/>
          <w:p>
            <w:pPr>
              <w:pStyle w:val="Compact"/>
            </w:pPr>
            <w:r>
              <w:t xml:space="preserve">The Agent in the Enemy’s Court: Hushai’s Infiltration</w:t>
            </w:r>
          </w:p>
        </w:tc>
      </w:tr>
      <w:tr>
        <w:tc>
          <w:tcPr/>
          <w:p>
            <w:pPr>
              <w:pStyle w:val="Compact"/>
            </w:pPr>
            <w:r>
              <w:t xml:space="preserve">4</w:t>
            </w:r>
          </w:p>
        </w:tc>
        <w:tc>
          <w:tcPr/>
          <w:p>
            <w:pPr>
              <w:pStyle w:val="Compact"/>
            </w:pPr>
            <w:r>
              <w:t xml:space="preserve">20–23</w:t>
            </w:r>
          </w:p>
        </w:tc>
        <w:tc>
          <w:tcPr/>
          <w:p>
            <w:pPr>
              <w:pStyle w:val="Compact"/>
            </w:pPr>
            <w:r>
              <w:t xml:space="preserve">The Prophecy Fulfilled: Ahithophel’s Counsel and the Tent on the Roof</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humiliation under Absalom’s revolt reveals God’s sovereign hand behind betrayal, cursing, and political disgrace.</w:t>
      </w:r>
    </w:p>
    <w:p>
      <w:pPr>
        <w:pStyle w:val="BodyText"/>
      </w:pPr>
      <w:r>
        <w:rPr>
          <w:b/>
          <w:bCs/>
        </w:rPr>
        <w:t xml:space="preserve">Primary Claim:</w:t>
      </w:r>
      <w:r>
        <w:t xml:space="preserve"> </w:t>
      </w:r>
      <w:r>
        <w:t xml:space="preserve">God is demonstrating that His providential governance of His servant’s life holds even through the most degrading reversals — and He is calling the reader to the same posture of submission David displays: trusting God’s hand rather than demanding vindication, defending reputation, or forcing resolution.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possibility that God has authorized what is currently humiliating you.</w:t>
      </w:r>
      <w:r>
        <w:t xml:space="preserve"> </w:t>
      </w:r>
      <w:r>
        <w:rPr>
          <w:i/>
          <w:iCs/>
        </w:rPr>
        <w:t xml:space="preserve">(Mind/Belief)</w:t>
      </w:r>
      <w:r>
        <w:t xml:space="preserve"> </w:t>
      </w:r>
      <w:r>
        <w:t xml:space="preserve">David does not resist Shimei’s cursing by insisting on his own innocence — he opens the theological possibility that God Himself sent it. This is not fatalism; it is faith operating in the category of divine providence. The reader who is enduring public shame, false accusation, or undeserved disgrace is being asked the same question David asked on that hillside: is it possible that the LORD is in this? That question is not a concession to the accusation — it is the beginning of trust. Stop spending all your energy demanding that the record be corrected and ask instead what God may be accomplishing through this.</w:t>
      </w:r>
    </w:p>
    <w:p>
      <w:pPr>
        <w:pStyle w:val="BodyText"/>
      </w:pPr>
      <w:r>
        <w:rPr>
          <w:b/>
          <w:bCs/>
        </w:rPr>
        <w:t xml:space="preserve">2. Let God be the one who vindicates, rather than appointing yourself to the task.</w:t>
      </w:r>
      <w:r>
        <w:t xml:space="preserve"> </w:t>
      </w:r>
      <w:r>
        <w:rPr>
          <w:i/>
          <w:iCs/>
        </w:rPr>
        <w:t xml:space="preserve">(Will/Behavior)</w:t>
      </w:r>
      <w:r>
        <w:t xml:space="preserve"> </w:t>
      </w:r>
      <w:r>
        <w:t xml:space="preserve">David silences Abishai not because he lacks the military capacity to silence Shimei but because he refuses to short-circuit God’s process by taking vindication into his own hands. David’s statement —</w:t>
      </w:r>
      <w:r>
        <w:t xml:space="preserve"> </w:t>
      </w:r>
      <w:r>
        <w:t xml:space="preserve">“Perhaps the LORD will look on my affliction and return good to me”</w:t>
      </w:r>
      <w:r>
        <w:t xml:space="preserve"> </w:t>
      </w:r>
      <w:r>
        <w:t xml:space="preserve">— is a concrete act of hand-over: he is placing his reputation and his outcome into God’s account, not his own. The concrete application is not abstract trust but a specific choice: the next time you have the relational or professional power to force vindication and restore your own standing, put the sword back in its sheath and wait.</w:t>
      </w:r>
    </w:p>
    <w:p>
      <w:pPr>
        <w:pStyle w:val="BodyText"/>
      </w:pPr>
      <w:r>
        <w:rPr>
          <w:b/>
          <w:bCs/>
        </w:rPr>
        <w:t xml:space="preserve">3. Understand that God’s disciplinary word arrives as precisely as His promissory word.</w:t>
      </w:r>
      <w:r>
        <w:t xml:space="preserve"> </w:t>
      </w:r>
      <w:r>
        <w:rPr>
          <w:i/>
          <w:iCs/>
        </w:rPr>
        <w:t xml:space="preserve">(Mind/Belief)</w:t>
      </w:r>
      <w:r>
        <w:t xml:space="preserve"> </w:t>
      </w:r>
      <w:r>
        <w:t xml:space="preserve">The fulfillment of Nathan’s prophecy in verses 20–22 is not primarily a display of prophetic accuracy — it is a display of God’s precision in discipline. The reader must reckon with this: the God who fulfills His promises to the letter is the same God who fulfills His words of discipline to the letter. This is not a threat but a clarification of who God is: He is not loose with His words in any direction. For the reader who has been living under known, unconfessed sin and its predictable consequences, this text demands honest reckoning. God’s discipline is not random — it is pointed.</w:t>
      </w:r>
    </w:p>
    <w:p>
      <w:pPr>
        <w:pStyle w:val="BodyText"/>
      </w:pPr>
      <w:r>
        <w:rPr>
          <w:b/>
          <w:bCs/>
        </w:rPr>
        <w:t xml:space="preserve">4. Grieve what your own sin has set in motion, without losing confidence in God’s ultimate purpose.</w:t>
      </w:r>
      <w:r>
        <w:t xml:space="preserve"> </w:t>
      </w:r>
      <w:r>
        <w:rPr>
          <w:i/>
          <w:iCs/>
        </w:rPr>
        <w:t xml:space="preserve">(Affections/Worship)</w:t>
      </w:r>
      <w:r>
        <w:t xml:space="preserve"> </w:t>
      </w:r>
      <w:r>
        <w:t xml:space="preserve">Much of what David endures in chapter 16 — Absalom’s revolt, the prophetic fulfillment through Ahithophel’s counsel, the isolation and exhaustion — flows directly from his own sin with Bathsheba and the murder of Uriah. David walks this road weeping (v. 14). That grief is appropriate; it should not be short-circuited by premature reassurance. But David keeps walking. The reader being invited here is the one living under the long tail of their own sin’s consequences — not condemned to despair, but not entitled to bypass grief. The posture is: weep honestly, and walk.</w:t>
      </w:r>
    </w:p>
    <w:p>
      <w:pPr>
        <w:pStyle w:val="BodyText"/>
      </w:pPr>
      <w:r>
        <w:rPr>
          <w:b/>
          <w:bCs/>
        </w:rPr>
        <w:t xml:space="preserve">5. Identify the</w:t>
      </w:r>
      <w:r>
        <w:rPr>
          <w:b/>
          <w:bCs/>
        </w:rPr>
        <w:t xml:space="preserve"> </w:t>
      </w:r>
      <w:r>
        <w:rPr>
          <w:b/>
          <w:bCs/>
        </w:rPr>
        <w:t xml:space="preserve">“Ahithophels”</w:t>
      </w:r>
      <w:r>
        <w:rPr>
          <w:b/>
          <w:bCs/>
        </w:rPr>
        <w:t xml:space="preserve"> </w:t>
      </w:r>
      <w:r>
        <w:rPr>
          <w:b/>
          <w:bCs/>
        </w:rPr>
        <w:t xml:space="preserve">in your situation — the counsel that appears wise, even reliable, but serves destruction.</w:t>
      </w:r>
      <w:r>
        <w:t xml:space="preserve"> </w:t>
      </w:r>
      <w:r>
        <w:rPr>
          <w:i/>
          <w:iCs/>
        </w:rPr>
        <w:t xml:space="preserve">(Affections/Worship)</w:t>
      </w:r>
      <w:r>
        <w:t xml:space="preserve"> </w:t>
      </w:r>
      <w:r>
        <w:t xml:space="preserve">Verse 23 describes Ahithophel’s counsel as being regarded like the word of God — both by Absalom and by Israel. This is a portrait of deeply credible, functionally reliable advice that is nevertheless serving a catastrophically wrong master. The chapter invites the reader to examine the voices they treat with Ahithophel-level authority: the culturally credible, emotionally compelling, experientially validated counsel that is nevertheless pointing them away from God’s purposes. What counsel in your life is everyone treating as oracular — and toward what end is it actually leading?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16 teaches that God’s providential governance is comprehensive — it extends not only to His promises but to His discipline, not only to the favorable circumstances of His servants’ lives but to the degrading ones. David’s recognition that the LORD may have directed Shimei’s cursing is not a theological accident; it is the consistent logic of a God who governs all things, including the malice of enemies and the long consequences of a leader’s own failures. The chapter also teaches that prophetic words — both promissory and disciplinary — arrive with the same precision: Nathan’s word through Ahithophel is not a near-miss but an exact fulfillment. God does not speak loosely in either direction. Finally, the chapter displays the character of God as one who disciplines His own as sons, not as strangers — the discipline is real, the grief is genuine, but the relationship remains, and David’s walking on through the Jordan weeping is itself an act of continuing faith.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narrative embodiment of the Reformed doctrine of divine providence in its most pastorally demanding form: not providence as a theological category applied to favorable circumstances, but providence as the active governance of God through betrayal, false accusation, the consequences of one’s own sin, and public humiliation. The chapter resists both the Arminian tendency to locate the decisive variable in David’s response (David’s trust saves the situation) and the functional deism that treats suffering as evidence of divine absence. What is on display is the Reformed conviction that God is sovereign over all secondary causes — including Shimei’s malice, Ziba’s opportunism, Ahithophel’s wisdom, and Hushai’s wit — and that none of these operate outside His governance. The chapter also enacts the Reformational pastoral principle that assurance does not require favorable circumstances: David’s confidence in verses 10–12 is not confidence that things will go well today, but confidence that the LORD governs even today’s worst moments. This is the same gospel logic that grounds Paul’s claim in Romans 8 that nothing — not tribulation, distress, nakedness, or peril — separates the believer from the love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governing this — including the part that looks like abandonment, the part that looks like unanswered cursing, and the part where your own past sin is catching up with you. David’s posture is not passivity — it is the specific, active, costly trust that puts the sword back in its sheath, keeps walking toward the Jordan, and says:</w:t>
      </w:r>
      <w:r>
        <w:t xml:space="preserve"> </w:t>
      </w:r>
      <w:r>
        <w:rPr>
          <w:i/>
          <w:iCs/>
        </w:rPr>
        <w:t xml:space="preserve">perhaps the LORD will look on my affliction and repay with good.</w:t>
      </w:r>
      <w:r>
        <w:t xml:space="preserve"> </w:t>
      </w:r>
      <w:r>
        <w:t xml:space="preserve">That posture is available to you. Take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this primarily a character study on David’s humility.</w:t>
      </w:r>
      <w:r>
        <w:t xml:space="preserve"> </w:t>
      </w:r>
      <w:r>
        <w:t xml:space="preserve">The center of gravity in the chapter is not David’s patience under Shimei’s cursing — it is David’s theological conviction that God governs even this. Sermons that lead with</w:t>
      </w:r>
      <w:r>
        <w:t xml:space="preserve"> </w:t>
      </w:r>
      <w:r>
        <w:t xml:space="preserve">“notice how David handled this difficult person in a godly way”</w:t>
      </w:r>
      <w:r>
        <w:t xml:space="preserve"> </w:t>
      </w:r>
      <w:r>
        <w:t xml:space="preserve">have subtly relocated the weight from divine providence to human virtue. Shimei is not primarily a difficult person to be managed wisely; he is an instrument in God’s providential discipline. Preach the doctrine, not just the character trait.</w:t>
      </w:r>
    </w:p>
    <w:p>
      <w:pPr>
        <w:numPr>
          <w:ilvl w:val="0"/>
          <w:numId w:val="1002"/>
        </w:numPr>
      </w:pPr>
      <w:r>
        <w:rPr>
          <w:b/>
          <w:bCs/>
        </w:rPr>
        <w:t xml:space="preserve">Skipping the grief.</w:t>
      </w:r>
      <w:r>
        <w:t xml:space="preserve"> </w:t>
      </w:r>
      <w:r>
        <w:t xml:space="preserve">David arrives at the Jordan exhausted (v. 14). The chapter does not soft-pedal the cost of what he is walking through. Preaching that rushes to the</w:t>
      </w:r>
      <w:r>
        <w:t xml:space="preserve"> </w:t>
      </w:r>
      <w:r>
        <w:t xml:space="preserve">“God is in this”</w:t>
      </w:r>
      <w:r>
        <w:t xml:space="preserve"> </w:t>
      </w:r>
      <w:r>
        <w:t xml:space="preserve">confidence without sitting in the genuine weight of the loss produces a thin and pastorally dishonest application. Give the congregation permission to grieve the real cost of discipline before moving to trust.</w:t>
      </w:r>
    </w:p>
    <w:p>
      <w:pPr>
        <w:numPr>
          <w:ilvl w:val="0"/>
          <w:numId w:val="1002"/>
        </w:numPr>
      </w:pPr>
      <w:r>
        <w:rPr>
          <w:b/>
          <w:bCs/>
        </w:rPr>
        <w:t xml:space="preserve">Treating Ziba’s report as reliable.</w:t>
      </w:r>
      <w:r>
        <w:t xml:space="preserve"> </w:t>
      </w:r>
      <w:r>
        <w:t xml:space="preserve">Some expositions read David’s transfer of Mephibosheth’s estate as straightforwardly correct — a just response to disloyalty. The narrative does not endorse this. Second Samuel 19:24–30 presents Mephibosheth’s counter-account with enough credibility that David essentially reverses the decision. Preach David here as a man under pressure and partially impaired judgment, not as a model of judicial wisdom.</w:t>
      </w:r>
    </w:p>
    <w:p>
      <w:pPr>
        <w:numPr>
          <w:ilvl w:val="0"/>
          <w:numId w:val="1002"/>
        </w:numPr>
      </w:pPr>
      <w:r>
        <w:rPr>
          <w:b/>
          <w:bCs/>
        </w:rPr>
        <w:t xml:space="preserve">Treating Ahithophel’s counsel as primarily a prophetic data point.</w:t>
      </w:r>
      <w:r>
        <w:t xml:space="preserve"> </w:t>
      </w:r>
      <w:r>
        <w:t xml:space="preserve">The fulfillment of Nathan’s word through Ahithophel’s advice is sometimes preached as evidence for biblical inspiration — which it is. But the pastoral register of the text is deeper: this is God’s discipline arriving exactly on schedule, in the most humiliating possible form. The application is not</w:t>
      </w:r>
      <w:r>
        <w:t xml:space="preserve"> </w:t>
      </w:r>
      <w:r>
        <w:t xml:space="preserve">“see how the Bible was right”</w:t>
      </w:r>
      <w:r>
        <w:t xml:space="preserve"> </w:t>
      </w:r>
      <w:r>
        <w:t xml:space="preserve">but</w:t>
      </w:r>
      <w:r>
        <w:t xml:space="preserve"> </w:t>
      </w:r>
      <w:r>
        <w:t xml:space="preserve">“see how God’s discipline is as precise as His promises — which should produce sober reverence, honest reckoning with known sin, and submission rather than shock.”</w:t>
      </w:r>
    </w:p>
    <w:p>
      <w:pPr>
        <w:numPr>
          <w:ilvl w:val="0"/>
          <w:numId w:val="1002"/>
        </w:numPr>
      </w:pPr>
      <w:r>
        <w:rPr>
          <w:b/>
          <w:bCs/>
        </w:rPr>
        <w:t xml:space="preserve">Resolving the Hushai ethical question in the wrong direction.</w:t>
      </w:r>
      <w:r>
        <w:t xml:space="preserve"> </w:t>
      </w:r>
      <w:r>
        <w:t xml:space="preserve">The temptation in either direction — either celebrating deception as justified by good ends, or defending against the charge with a lengthy ethical discussion — misreads what the text is doing. The text is not a case study in situational ethics; it is a narrative about providential governance operating through human loyalty and wit. Hold the ethical question at arm’s length and preach the providence.</w:t>
      </w:r>
    </w:p>
    <w:p>
      <w:pPr>
        <w:numPr>
          <w:ilvl w:val="0"/>
          <w:numId w:val="1002"/>
        </w:numPr>
      </w:pPr>
      <w:r>
        <w:rPr>
          <w:b/>
          <w:bCs/>
        </w:rPr>
        <w:t xml:space="preserve">Preaching David as the primary example to follow.</w:t>
      </w:r>
      <w:r>
        <w:t xml:space="preserve"> </w:t>
      </w:r>
      <w:r>
        <w:t xml:space="preserve">David’s posture in this chapter is genuinely instructive and worth holding up. But the passage must be grounded in something more than</w:t>
      </w:r>
      <w:r>
        <w:t xml:space="preserve"> </w:t>
      </w:r>
      <w:r>
        <w:t xml:space="preserve">“be like David under pressure.”</w:t>
      </w:r>
      <w:r>
        <w:t xml:space="preserve"> </w:t>
      </w:r>
      <w:r>
        <w:t xml:space="preserve">The ground of the application is not David’s example but the God who governs providentially and who calls His people to trust that governance. The Clowney anti-moralism principle applies directly: the application must be</w:t>
      </w:r>
      <w:r>
        <w:t xml:space="preserve"> </w:t>
      </w:r>
      <w:r>
        <w:t xml:space="preserve">“trust this God who governs this way”</w:t>
      </w:r>
      <w:r>
        <w:t xml:space="preserve"> </w:t>
      </w:r>
      <w:r>
        <w:t xml:space="preserve">not merely</w:t>
      </w:r>
      <w:r>
        <w:t xml:space="preserve"> </w:t>
      </w:r>
      <w:r>
        <w:t xml:space="preserve">“exhibit David’s virtues.”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2026-07-14T21:02:50Z</dcterms:created>
  <dcterms:modified xsi:type="dcterms:W3CDTF">2026-07-14T21:02:50Z</dcterms:modified>
</cp:coreProperties>
</file>

<file path=docProps/custom.xml><?xml version="1.0" encoding="utf-8"?>
<Properties xmlns="http://schemas.openxmlformats.org/officeDocument/2006/custom-properties" xmlns:vt="http://schemas.openxmlformats.org/officeDocument/2006/docPropsVTypes"/>
</file>